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D24E51">
        <w:rPr>
          <w:sz w:val="22"/>
          <w:szCs w:val="22"/>
        </w:rPr>
        <w:t>Dana Dolná</w:t>
      </w:r>
      <w:r>
        <w:rPr>
          <w:sz w:val="22"/>
          <w:szCs w:val="22"/>
        </w:rPr>
        <w:t>, odborný referent Pobočky Plzeň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  <w:t>tel: +420 727 956 81</w:t>
      </w:r>
      <w:r w:rsidR="00D24E51">
        <w:rPr>
          <w:sz w:val="22"/>
          <w:szCs w:val="22"/>
        </w:rPr>
        <w:t>7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e-mail: </w:t>
      </w:r>
      <w:r w:rsidR="00D24E51">
        <w:rPr>
          <w:sz w:val="22"/>
          <w:szCs w:val="22"/>
        </w:rPr>
        <w:t>d.dolna</w:t>
      </w:r>
      <w:r>
        <w:rPr>
          <w:sz w:val="22"/>
          <w:szCs w:val="22"/>
        </w:rPr>
        <w:t>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bookmarkStart w:id="0" w:name="_GoBack"/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bookmarkEnd w:id="0"/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>@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D24E51">
        <w:rPr>
          <w:b/>
          <w:snapToGrid w:val="0"/>
          <w:sz w:val="22"/>
          <w:szCs w:val="22"/>
        </w:rPr>
        <w:t>Blažim u Bezdružic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D66957">
        <w:rPr>
          <w:sz w:val="22"/>
          <w:szCs w:val="22"/>
        </w:rPr>
        <w:t>237</w:t>
      </w:r>
      <w:r w:rsidR="001748B7">
        <w:rPr>
          <w:sz w:val="22"/>
          <w:szCs w:val="22"/>
        </w:rPr>
        <w:t> 000,</w:t>
      </w:r>
      <w:r w:rsidR="004729C1" w:rsidRPr="006440E5">
        <w:rPr>
          <w:sz w:val="22"/>
          <w:szCs w:val="22"/>
        </w:rPr>
        <w:t>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DVD ) a 2x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667C3E">
        <w:rPr>
          <w:snapToGrid w:val="0"/>
          <w:sz w:val="22"/>
          <w:szCs w:val="22"/>
        </w:rPr>
        <w:t>Plzeň</w:t>
      </w:r>
      <w:r w:rsidR="00A70202" w:rsidRPr="00314B48">
        <w:rPr>
          <w:snapToGrid w:val="0"/>
          <w:sz w:val="22"/>
          <w:szCs w:val="22"/>
        </w:rPr>
        <w:t xml:space="preserve">, adresa </w:t>
      </w:r>
      <w:r w:rsidR="00667C3E">
        <w:rPr>
          <w:snapToGrid w:val="0"/>
          <w:sz w:val="22"/>
          <w:szCs w:val="22"/>
        </w:rPr>
        <w:t xml:space="preserve">Nerudova 35, 301 00 Plzeň. O 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67C3E" w:rsidRPr="006440E5" w:rsidRDefault="00667C3E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r w:rsidR="00452BFD" w:rsidRPr="006440E5">
        <w:rPr>
          <w:snapToGrid w:val="0"/>
          <w:sz w:val="22"/>
          <w:szCs w:val="22"/>
        </w:rPr>
        <w:t xml:space="preserve">  dne 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Pr="006440E5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1748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Plzeňský kraj</w:t>
      </w:r>
      <w:r w:rsidR="006D3449" w:rsidRPr="006440E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667C3E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B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BCB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5uKUlH+H8JvtugBR7jDA9IqGM84=" w:salt="lEj9nqyB4HO1eIDDyhK8c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30E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2BCB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67C3E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4E5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66957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6B321-3C33-4546-9359-625FACFF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15</Pages>
  <Words>6734</Words>
  <Characters>39735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Loudová Miroslava Ing.</cp:lastModifiedBy>
  <cp:revision>9</cp:revision>
  <cp:lastPrinted>2015-06-17T05:58:00Z</cp:lastPrinted>
  <dcterms:created xsi:type="dcterms:W3CDTF">2015-08-04T07:06:00Z</dcterms:created>
  <dcterms:modified xsi:type="dcterms:W3CDTF">2015-08-12T12:49:00Z</dcterms:modified>
</cp:coreProperties>
</file>